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9807F6">
        <w:rPr>
          <w:rFonts w:ascii="Arial" w:hAnsi="Arial" w:cs="Arial"/>
          <w:b/>
          <w:bCs/>
          <w:lang w:val="en-GB"/>
        </w:rPr>
        <w:t>4</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194136">
        <w:rPr>
          <w:rFonts w:ascii="Arial" w:hAnsi="Arial" w:cs="Arial"/>
          <w:b/>
          <w:bCs/>
          <w:lang w:val="en-GB"/>
        </w:rPr>
        <w:t>1</w:t>
      </w:r>
      <w:r w:rsidR="00151336">
        <w:rPr>
          <w:rFonts w:ascii="Arial" w:hAnsi="Arial" w:cs="Arial"/>
          <w:b/>
          <w:bCs/>
          <w:lang w:val="en-GB"/>
        </w:rPr>
        <w:t>7771</w:t>
      </w:r>
      <w:bookmarkStart w:id="0" w:name="_GoBack"/>
      <w:bookmarkEnd w:id="0"/>
    </w:p>
    <w:p w:rsidR="00F83230" w:rsidRPr="00BD722C" w:rsidRDefault="009807F6" w:rsidP="009807F6">
      <w:pPr>
        <w:pStyle w:val="Header"/>
        <w:widowControl w:val="0"/>
        <w:rPr>
          <w:rFonts w:ascii="Arial" w:hAnsi="Arial" w:cs="Arial"/>
          <w:b/>
          <w:bCs/>
          <w:highlight w:val="yellow"/>
          <w:lang w:val="en-GB"/>
        </w:rPr>
      </w:pPr>
      <w:r w:rsidRPr="009807F6">
        <w:rPr>
          <w:rFonts w:ascii="Arial" w:hAnsi="Arial" w:cs="Arial"/>
          <w:b/>
          <w:bCs/>
          <w:lang w:val="en-GB"/>
        </w:rPr>
        <w:t>Spokane, USA, 12th - 16th November 201</w:t>
      </w:r>
      <w:r w:rsidR="0051520E" w:rsidRPr="0051520E">
        <w:rPr>
          <w:rFonts w:ascii="Arial" w:hAnsi="Arial" w:cs="Arial"/>
          <w:b/>
          <w:bCs/>
          <w:lang w:val="en-GB"/>
        </w:rPr>
        <w:t>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D4765E">
        <w:rPr>
          <w:rFonts w:ascii="Arial" w:hAnsi="Arial" w:cs="Arial"/>
          <w:b/>
          <w:bCs/>
          <w:szCs w:val="20"/>
          <w:lang w:val="en-GB" w:eastAsia="zh-CN"/>
        </w:rPr>
        <w:t>4.</w:t>
      </w:r>
      <w:r w:rsidR="0020462C">
        <w:rPr>
          <w:rFonts w:ascii="Arial" w:hAnsi="Arial" w:cs="Arial"/>
          <w:b/>
          <w:bCs/>
          <w:szCs w:val="20"/>
          <w:lang w:val="en-GB" w:eastAsia="zh-CN"/>
        </w:rPr>
        <w:t>2.</w:t>
      </w:r>
      <w:r w:rsidR="00D4765E">
        <w:rPr>
          <w:rFonts w:ascii="Arial" w:hAnsi="Arial" w:cs="Arial"/>
          <w:b/>
          <w:bCs/>
          <w:szCs w:val="20"/>
          <w:lang w:val="en-GB" w:eastAsia="zh-CN"/>
        </w:rPr>
        <w:t>1</w:t>
      </w:r>
      <w:r w:rsidR="0020462C">
        <w:rPr>
          <w:rFonts w:ascii="Arial" w:hAnsi="Arial" w:cs="Arial"/>
          <w:b/>
          <w:bCs/>
          <w:szCs w:val="20"/>
          <w:lang w:val="en-GB" w:eastAsia="zh-CN"/>
        </w:rPr>
        <w:t xml:space="preserve"> (Scenarios)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0462C">
        <w:rPr>
          <w:rFonts w:ascii="Arial" w:hAnsi="Arial" w:cs="Arial"/>
          <w:b/>
          <w:bCs/>
          <w:szCs w:val="20"/>
          <w:lang w:val="en-GB" w:eastAsia="zh-CN"/>
        </w:rPr>
        <w:t>UE minimum R</w:t>
      </w:r>
      <w:r w:rsidR="00BB16F5">
        <w:rPr>
          <w:rFonts w:ascii="Arial" w:hAnsi="Arial" w:cs="Arial"/>
          <w:b/>
          <w:bCs/>
          <w:szCs w:val="20"/>
          <w:lang w:val="en-GB" w:eastAsia="zh-CN"/>
        </w:rPr>
        <w:t>F</w:t>
      </w:r>
      <w:r w:rsidR="0020462C">
        <w:rPr>
          <w:rFonts w:ascii="Arial" w:hAnsi="Arial" w:cs="Arial"/>
          <w:b/>
          <w:bCs/>
          <w:szCs w:val="20"/>
          <w:lang w:val="en-GB" w:eastAsia="zh-CN"/>
        </w:rPr>
        <w:t xml:space="preserve"> capability in NR V2X</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E31458" w:rsidRDefault="00FC0B32" w:rsidP="00AF73F5">
      <w:pPr>
        <w:rPr>
          <w:rFonts w:eastAsia="MS Mincho"/>
        </w:rPr>
      </w:pPr>
      <w:r>
        <w:rPr>
          <w:rFonts w:eastAsia="MS Mincho"/>
        </w:rPr>
        <w:t>T</w:t>
      </w:r>
      <w:r w:rsidRPr="00521442">
        <w:rPr>
          <w:rFonts w:eastAsia="MS Mincho"/>
        </w:rPr>
        <w:t xml:space="preserve">he </w:t>
      </w:r>
      <w:r>
        <w:rPr>
          <w:rFonts w:eastAsia="MS Mincho"/>
        </w:rPr>
        <w:t xml:space="preserve">NR V2X </w:t>
      </w:r>
      <w:r w:rsidRPr="00521442">
        <w:rPr>
          <w:rFonts w:eastAsia="MS Mincho"/>
        </w:rPr>
        <w:t xml:space="preserve">UE may </w:t>
      </w:r>
      <w:r>
        <w:rPr>
          <w:rFonts w:eastAsia="MS Mincho"/>
        </w:rPr>
        <w:t xml:space="preserve">need to </w:t>
      </w:r>
      <w:r w:rsidRPr="00521442">
        <w:rPr>
          <w:rFonts w:eastAsia="MS Mincho"/>
        </w:rPr>
        <w:t>send both a PUCCH</w:t>
      </w:r>
      <w:r>
        <w:rPr>
          <w:rFonts w:eastAsia="MS Mincho"/>
        </w:rPr>
        <w:t>/ PUSCH</w:t>
      </w:r>
      <w:r w:rsidRPr="00521442">
        <w:rPr>
          <w:rFonts w:eastAsia="MS Mincho"/>
        </w:rPr>
        <w:t xml:space="preserve"> for Uu and a SL PSCCH/PSSCH at the same time, and possibly with different numerologies</w:t>
      </w:r>
      <w:r w:rsidR="00E31458" w:rsidRPr="004C453B">
        <w:rPr>
          <w:sz w:val="20"/>
          <w:lang w:val="en-GB" w:eastAsia="zh-CN"/>
        </w:rPr>
        <w:t>.</w:t>
      </w:r>
      <w:r>
        <w:rPr>
          <w:sz w:val="20"/>
          <w:lang w:val="en-GB" w:eastAsia="zh-CN"/>
        </w:rPr>
        <w:t xml:space="preserve"> It is not clear if the minimum RF capability of the UE allows for this. </w:t>
      </w:r>
      <w:r w:rsidR="00DD0F68">
        <w:rPr>
          <w:sz w:val="20"/>
          <w:lang w:val="en-GB" w:eastAsia="zh-CN"/>
        </w:rPr>
        <w:t>I</w:t>
      </w:r>
      <w:r>
        <w:rPr>
          <w:sz w:val="20"/>
          <w:lang w:val="en-GB" w:eastAsia="zh-CN"/>
        </w:rPr>
        <w:t xml:space="preserve">f the </w:t>
      </w:r>
      <w:r>
        <w:rPr>
          <w:rFonts w:eastAsia="MS Mincho"/>
        </w:rPr>
        <w:t xml:space="preserve">NR V2X </w:t>
      </w:r>
      <w:r w:rsidRPr="00521442">
        <w:rPr>
          <w:rFonts w:eastAsia="MS Mincho"/>
        </w:rPr>
        <w:t>UE</w:t>
      </w:r>
      <w:r>
        <w:rPr>
          <w:rFonts w:eastAsia="MS Mincho"/>
        </w:rPr>
        <w:t xml:space="preserve"> needs to transmit (receive) BSM messages also on LTE PC5 interface then would it require a separate RF capability for the same?</w:t>
      </w:r>
    </w:p>
    <w:p w:rsidR="00FC0B32" w:rsidRPr="004C453B" w:rsidRDefault="00FC0B32" w:rsidP="00AF73F5">
      <w:pPr>
        <w:rPr>
          <w:sz w:val="20"/>
          <w:lang w:val="en-GB" w:eastAsia="zh-CN"/>
        </w:rPr>
      </w:pPr>
      <w:r>
        <w:rPr>
          <w:rFonts w:eastAsia="MS Mincho"/>
        </w:rPr>
        <w:t>In short what is the NR V2X UE’s minimum RF capability?</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3A3574" w:rsidRPr="00521442" w:rsidRDefault="003A3574" w:rsidP="003A3574">
      <w:pPr>
        <w:rPr>
          <w:rFonts w:eastAsia="MS Mincho"/>
        </w:rPr>
      </w:pPr>
      <w:r>
        <w:rPr>
          <w:lang w:eastAsia="ja-JP"/>
        </w:rPr>
        <w:t>RAN1 contribution [1] describes</w:t>
      </w:r>
      <w:r w:rsidRPr="00521442">
        <w:rPr>
          <w:rFonts w:eastAsia="MS Mincho"/>
        </w:rPr>
        <w:t xml:space="preserve"> the following three cases of RF capability for SL in the shared licensed carrier and dedicated NR carrier.</w:t>
      </w:r>
    </w:p>
    <w:p w:rsidR="003A3574" w:rsidRPr="00521442" w:rsidRDefault="003A3574" w:rsidP="003A3574">
      <w:pPr>
        <w:numPr>
          <w:ilvl w:val="2"/>
          <w:numId w:val="31"/>
        </w:numPr>
        <w:autoSpaceDE/>
        <w:autoSpaceDN/>
        <w:adjustRightInd/>
        <w:snapToGrid/>
        <w:spacing w:after="0"/>
        <w:ind w:leftChars="210" w:left="882"/>
        <w:contextualSpacing/>
        <w:jc w:val="both"/>
        <w:rPr>
          <w:rFonts w:eastAsia="MS Mincho"/>
        </w:rPr>
      </w:pPr>
      <w:r w:rsidRPr="00521442">
        <w:rPr>
          <w:rFonts w:eastAsia="MS Mincho"/>
        </w:rPr>
        <w:t>Case 1: UL Tx and SL Tx share one Tx RF chain in a shared licensed carrier</w:t>
      </w:r>
    </w:p>
    <w:p w:rsidR="003A3574" w:rsidRPr="00521442" w:rsidRDefault="003A3574" w:rsidP="003A3574">
      <w:pPr>
        <w:numPr>
          <w:ilvl w:val="2"/>
          <w:numId w:val="31"/>
        </w:numPr>
        <w:autoSpaceDE/>
        <w:autoSpaceDN/>
        <w:adjustRightInd/>
        <w:snapToGrid/>
        <w:spacing w:after="0"/>
        <w:ind w:leftChars="210" w:left="882"/>
        <w:contextualSpacing/>
        <w:jc w:val="both"/>
        <w:rPr>
          <w:rFonts w:eastAsia="MS Mincho"/>
        </w:rPr>
      </w:pPr>
      <w:r w:rsidRPr="00521442">
        <w:rPr>
          <w:rFonts w:eastAsia="MS Mincho"/>
        </w:rPr>
        <w:t>Case 2: UL Tx and SL Tx use separate Tx RF chain in a dedicated licensed carrier</w:t>
      </w:r>
    </w:p>
    <w:p w:rsidR="003A3574" w:rsidRPr="00521442" w:rsidRDefault="003A3574" w:rsidP="003A3574">
      <w:pPr>
        <w:numPr>
          <w:ilvl w:val="2"/>
          <w:numId w:val="31"/>
        </w:numPr>
        <w:autoSpaceDE/>
        <w:autoSpaceDN/>
        <w:adjustRightInd/>
        <w:snapToGrid/>
        <w:spacing w:after="0"/>
        <w:ind w:leftChars="210" w:left="882"/>
        <w:contextualSpacing/>
        <w:jc w:val="both"/>
        <w:rPr>
          <w:rFonts w:eastAsia="MS Mincho"/>
        </w:rPr>
      </w:pPr>
      <w:r w:rsidRPr="00521442">
        <w:rPr>
          <w:rFonts w:eastAsia="MS Mincho"/>
        </w:rPr>
        <w:t>Case 3: UL Tx and SL Tx use separate Tx RF chain in different carrier</w:t>
      </w:r>
      <w:r w:rsidRPr="00521442">
        <w:rPr>
          <w:rFonts w:eastAsia="MS Mincho" w:hint="eastAsia"/>
          <w:lang w:eastAsia="ja-JP"/>
        </w:rPr>
        <w:t>.</w:t>
      </w:r>
    </w:p>
    <w:p w:rsidR="003A3574" w:rsidRDefault="003A3574" w:rsidP="00226D8E">
      <w:pPr>
        <w:rPr>
          <w:sz w:val="20"/>
        </w:rPr>
      </w:pPr>
    </w:p>
    <w:p w:rsidR="003A3574" w:rsidRDefault="003A3574" w:rsidP="003A3574">
      <w:pPr>
        <w:keepNext/>
        <w:jc w:val="center"/>
      </w:pPr>
      <w:r w:rsidRPr="00521442">
        <w:rPr>
          <w:noProof/>
          <w:lang w:eastAsia="zh-CN"/>
        </w:rPr>
        <w:drawing>
          <wp:inline distT="0" distB="0" distL="0" distR="0" wp14:anchorId="53636483" wp14:editId="2713CD55">
            <wp:extent cx="3058522" cy="3648974"/>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3374" cy="3690554"/>
                    </a:xfrm>
                    <a:prstGeom prst="rect">
                      <a:avLst/>
                    </a:prstGeom>
                    <a:noFill/>
                    <a:ln>
                      <a:noFill/>
                    </a:ln>
                  </pic:spPr>
                </pic:pic>
              </a:graphicData>
            </a:graphic>
          </wp:inline>
        </w:drawing>
      </w:r>
    </w:p>
    <w:p w:rsidR="003A3574" w:rsidRDefault="003A3574" w:rsidP="003A3574">
      <w:pPr>
        <w:pStyle w:val="Caption"/>
      </w:pPr>
      <w:r>
        <w:t xml:space="preserve">Figure </w:t>
      </w:r>
      <w:r w:rsidR="00195C6F">
        <w:fldChar w:fldCharType="begin"/>
      </w:r>
      <w:r w:rsidR="00195C6F">
        <w:instrText xml:space="preserve"> SEQ Figure \* ARABIC </w:instrText>
      </w:r>
      <w:r w:rsidR="00195C6F">
        <w:fldChar w:fldCharType="separate"/>
      </w:r>
      <w:r>
        <w:rPr>
          <w:noProof/>
        </w:rPr>
        <w:t>1</w:t>
      </w:r>
      <w:r w:rsidR="00195C6F">
        <w:rPr>
          <w:noProof/>
        </w:rPr>
        <w:fldChar w:fldCharType="end"/>
      </w:r>
      <w:r>
        <w:t>: UL/ SL RF chains</w:t>
      </w:r>
    </w:p>
    <w:p w:rsidR="00FC7A94" w:rsidRDefault="00DB7D98" w:rsidP="00226D8E">
      <w:pPr>
        <w:rPr>
          <w:sz w:val="20"/>
        </w:rPr>
      </w:pPr>
      <w:r>
        <w:rPr>
          <w:sz w:val="20"/>
        </w:rPr>
        <w:lastRenderedPageBreak/>
        <w:t>So, from the minimum RF capability perspective, an NR V2X UE should be able to receive all relevant V2X transmission including those not being transmitted in its current active UL BWP</w:t>
      </w:r>
      <w:r w:rsidR="00FC7A94" w:rsidRPr="00FC7A94">
        <w:rPr>
          <w:sz w:val="20"/>
        </w:rPr>
        <w:t>.</w:t>
      </w:r>
      <w:r>
        <w:rPr>
          <w:sz w:val="20"/>
        </w:rPr>
        <w:t xml:space="preserve"> As the Rel. 15 NR UE is not required to support more than 1 current active UL BWP, a separate Rx chain to receive V2X transmission will be necessary.</w:t>
      </w:r>
    </w:p>
    <w:p w:rsidR="00DB7D98" w:rsidRDefault="00DB7D98" w:rsidP="00226D8E">
      <w:pPr>
        <w:rPr>
          <w:sz w:val="20"/>
        </w:rPr>
      </w:pPr>
      <w:r>
        <w:rPr>
          <w:sz w:val="20"/>
        </w:rPr>
        <w:t xml:space="preserve">However, from transmission perspective the UE may need to </w:t>
      </w:r>
      <w:r w:rsidR="00851EDC">
        <w:rPr>
          <w:sz w:val="20"/>
        </w:rPr>
        <w:t>transmit</w:t>
      </w:r>
      <w:r>
        <w:rPr>
          <w:sz w:val="20"/>
        </w:rPr>
        <w:t xml:space="preserve"> only in the SL subframes (if UL and SL subfra</w:t>
      </w:r>
      <w:r w:rsidR="00FB4B43">
        <w:rPr>
          <w:sz w:val="20"/>
        </w:rPr>
        <w:t>mes are TDD multiplexed). A possible switching delay (to change BWP and/ or SCS) may ensure and is given by the Table 1 of [2] as follows:</w:t>
      </w:r>
    </w:p>
    <w:p w:rsidR="00FB4B43" w:rsidRDefault="00FB4B43" w:rsidP="00226D8E">
      <w:pPr>
        <w:rPr>
          <w:sz w:val="20"/>
        </w:rPr>
      </w:pPr>
    </w:p>
    <w:tbl>
      <w:tblPr>
        <w:tblW w:w="8861"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135"/>
        <w:gridCol w:w="1080"/>
        <w:gridCol w:w="1172"/>
        <w:gridCol w:w="3647"/>
      </w:tblGrid>
      <w:tr w:rsidR="00FB4B43" w:rsidRPr="00CB05E0" w:rsidTr="007E239B">
        <w:trPr>
          <w:trHeight w:val="424"/>
          <w:jc w:val="center"/>
        </w:trPr>
        <w:tc>
          <w:tcPr>
            <w:tcW w:w="1827" w:type="dxa"/>
            <w:shd w:val="clear" w:color="000000" w:fill="D9D9D9"/>
            <w:vAlign w:val="center"/>
            <w:hideMark/>
          </w:tcPr>
          <w:p w:rsidR="00FB4B43" w:rsidRPr="009226D2" w:rsidRDefault="00FB4B43" w:rsidP="007E239B">
            <w:pPr>
              <w:rPr>
                <w:rFonts w:ascii="Arial" w:hAnsi="Arial" w:cs="Arial"/>
                <w:b/>
                <w:bCs/>
                <w:sz w:val="18"/>
                <w:szCs w:val="18"/>
              </w:rPr>
            </w:pPr>
            <w:r w:rsidRPr="009226D2">
              <w:rPr>
                <w:rFonts w:ascii="Arial" w:hAnsi="Arial" w:cs="Arial"/>
                <w:b/>
                <w:bCs/>
                <w:sz w:val="18"/>
                <w:szCs w:val="18"/>
              </w:rPr>
              <w:t>Freq</w:t>
            </w:r>
            <w:r w:rsidRPr="00CB05E0">
              <w:rPr>
                <w:rFonts w:ascii="Arial" w:hAnsi="Arial" w:cs="Arial"/>
                <w:b/>
                <w:bCs/>
                <w:sz w:val="18"/>
                <w:szCs w:val="18"/>
              </w:rPr>
              <w:t xml:space="preserve">uency </w:t>
            </w:r>
            <w:r w:rsidRPr="009226D2">
              <w:rPr>
                <w:rFonts w:ascii="Arial" w:hAnsi="Arial" w:cs="Arial"/>
                <w:b/>
                <w:bCs/>
                <w:sz w:val="18"/>
                <w:szCs w:val="18"/>
              </w:rPr>
              <w:t>Range</w:t>
            </w:r>
          </w:p>
        </w:tc>
        <w:tc>
          <w:tcPr>
            <w:tcW w:w="1135" w:type="dxa"/>
            <w:shd w:val="clear" w:color="000000" w:fill="D9D9D9"/>
            <w:vAlign w:val="center"/>
            <w:hideMark/>
          </w:tcPr>
          <w:p w:rsidR="00FB4B43" w:rsidRPr="009226D2" w:rsidRDefault="00FB4B43" w:rsidP="007E239B">
            <w:pPr>
              <w:rPr>
                <w:rFonts w:ascii="Arial" w:hAnsi="Arial" w:cs="Arial"/>
                <w:b/>
                <w:bCs/>
                <w:sz w:val="18"/>
                <w:szCs w:val="18"/>
              </w:rPr>
            </w:pPr>
            <w:r w:rsidRPr="009226D2">
              <w:rPr>
                <w:rFonts w:ascii="Arial" w:hAnsi="Arial" w:cs="Arial"/>
                <w:b/>
                <w:bCs/>
                <w:sz w:val="18"/>
                <w:szCs w:val="18"/>
              </w:rPr>
              <w:t>Scen</w:t>
            </w:r>
            <w:r w:rsidRPr="00CB05E0">
              <w:rPr>
                <w:rFonts w:ascii="Arial" w:hAnsi="Arial" w:cs="Arial"/>
                <w:b/>
                <w:bCs/>
                <w:sz w:val="18"/>
                <w:szCs w:val="18"/>
              </w:rPr>
              <w:t>ario</w:t>
            </w:r>
          </w:p>
        </w:tc>
        <w:tc>
          <w:tcPr>
            <w:tcW w:w="1080" w:type="dxa"/>
            <w:shd w:val="clear" w:color="000000" w:fill="D9D9D9"/>
            <w:vAlign w:val="center"/>
            <w:hideMark/>
          </w:tcPr>
          <w:p w:rsidR="00FB4B43" w:rsidRDefault="00FB4B43" w:rsidP="007E239B">
            <w:pPr>
              <w:jc w:val="center"/>
              <w:rPr>
                <w:rFonts w:ascii="Arial" w:hAnsi="Arial" w:cs="Arial"/>
                <w:b/>
                <w:bCs/>
                <w:sz w:val="18"/>
                <w:szCs w:val="18"/>
              </w:rPr>
            </w:pPr>
            <w:r>
              <w:rPr>
                <w:rFonts w:ascii="Arial" w:hAnsi="Arial" w:cs="Arial"/>
                <w:b/>
                <w:bCs/>
                <w:sz w:val="18"/>
                <w:szCs w:val="18"/>
              </w:rPr>
              <w:t>Type 1</w:t>
            </w:r>
          </w:p>
          <w:p w:rsidR="00FB4B43" w:rsidRPr="009226D2" w:rsidRDefault="00FB4B43" w:rsidP="007E239B">
            <w:pPr>
              <w:jc w:val="center"/>
              <w:rPr>
                <w:rFonts w:ascii="Arial" w:hAnsi="Arial" w:cs="Arial"/>
                <w:b/>
                <w:bCs/>
                <w:sz w:val="18"/>
                <w:szCs w:val="18"/>
              </w:rPr>
            </w:pPr>
            <w:r w:rsidRPr="009226D2">
              <w:rPr>
                <w:rFonts w:ascii="Arial" w:hAnsi="Arial" w:cs="Arial"/>
                <w:b/>
                <w:bCs/>
                <w:sz w:val="18"/>
                <w:szCs w:val="18"/>
              </w:rPr>
              <w:t>Delay</w:t>
            </w:r>
            <w:r w:rsidRPr="00CB05E0">
              <w:rPr>
                <w:rFonts w:ascii="Arial" w:hAnsi="Arial" w:cs="Arial"/>
                <w:b/>
                <w:bCs/>
                <w:sz w:val="18"/>
                <w:szCs w:val="18"/>
              </w:rPr>
              <w:t xml:space="preserve"> </w:t>
            </w:r>
            <w:r w:rsidRPr="009226D2">
              <w:rPr>
                <w:rFonts w:ascii="Arial" w:hAnsi="Arial" w:cs="Arial"/>
                <w:b/>
                <w:bCs/>
                <w:sz w:val="18"/>
                <w:szCs w:val="18"/>
              </w:rPr>
              <w:t>(us)</w:t>
            </w:r>
          </w:p>
        </w:tc>
        <w:tc>
          <w:tcPr>
            <w:tcW w:w="1172" w:type="dxa"/>
            <w:shd w:val="clear" w:color="000000" w:fill="D9D9D9"/>
          </w:tcPr>
          <w:p w:rsidR="00FB4B43" w:rsidRDefault="00FB4B43" w:rsidP="007E239B">
            <w:pPr>
              <w:jc w:val="center"/>
              <w:rPr>
                <w:rFonts w:ascii="Arial" w:hAnsi="Arial" w:cs="Arial"/>
                <w:b/>
                <w:bCs/>
                <w:sz w:val="18"/>
                <w:szCs w:val="18"/>
              </w:rPr>
            </w:pPr>
            <w:r>
              <w:rPr>
                <w:rFonts w:ascii="Arial" w:hAnsi="Arial" w:cs="Arial"/>
                <w:b/>
                <w:bCs/>
                <w:sz w:val="18"/>
                <w:szCs w:val="18"/>
              </w:rPr>
              <w:t>Type 2</w:t>
            </w:r>
          </w:p>
          <w:p w:rsidR="00FB4B43" w:rsidRPr="00CB05E0" w:rsidRDefault="00FB4B43" w:rsidP="007E239B">
            <w:pPr>
              <w:jc w:val="center"/>
              <w:rPr>
                <w:rFonts w:ascii="Arial" w:hAnsi="Arial" w:cs="Arial"/>
                <w:b/>
                <w:bCs/>
                <w:sz w:val="18"/>
                <w:szCs w:val="18"/>
              </w:rPr>
            </w:pPr>
            <w:r>
              <w:rPr>
                <w:rFonts w:ascii="Arial" w:hAnsi="Arial" w:cs="Arial"/>
                <w:b/>
                <w:bCs/>
                <w:sz w:val="18"/>
                <w:szCs w:val="18"/>
              </w:rPr>
              <w:t>Delay (us)</w:t>
            </w:r>
          </w:p>
        </w:tc>
        <w:tc>
          <w:tcPr>
            <w:tcW w:w="3647" w:type="dxa"/>
            <w:shd w:val="clear" w:color="000000" w:fill="D9D9D9"/>
            <w:vAlign w:val="center"/>
          </w:tcPr>
          <w:p w:rsidR="00FB4B43" w:rsidRPr="009226D2" w:rsidRDefault="00FB4B43" w:rsidP="007E239B">
            <w:pPr>
              <w:jc w:val="center"/>
              <w:rPr>
                <w:rFonts w:ascii="Arial" w:hAnsi="Arial" w:cs="Arial"/>
                <w:b/>
                <w:bCs/>
                <w:sz w:val="18"/>
                <w:szCs w:val="18"/>
              </w:rPr>
            </w:pPr>
            <w:r w:rsidRPr="00CB05E0">
              <w:rPr>
                <w:rFonts w:ascii="Arial" w:hAnsi="Arial" w:cs="Arial"/>
                <w:b/>
                <w:bCs/>
                <w:sz w:val="18"/>
                <w:szCs w:val="18"/>
              </w:rPr>
              <w:t>Comment</w:t>
            </w:r>
          </w:p>
        </w:tc>
      </w:tr>
      <w:tr w:rsidR="00FB4B43" w:rsidRPr="00CB05E0" w:rsidTr="007E239B">
        <w:trPr>
          <w:trHeight w:val="20"/>
          <w:jc w:val="center"/>
        </w:trPr>
        <w:tc>
          <w:tcPr>
            <w:tcW w:w="1827" w:type="dxa"/>
            <w:vMerge w:val="restart"/>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1</w:t>
            </w: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1</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600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 xml:space="preserve"> 2000</w:t>
            </w:r>
          </w:p>
        </w:tc>
        <w:tc>
          <w:tcPr>
            <w:tcW w:w="3647" w:type="dxa"/>
          </w:tcPr>
          <w:p w:rsidR="00FB4B43" w:rsidRPr="00CB05E0" w:rsidRDefault="00FB4B43" w:rsidP="007E239B">
            <w:pPr>
              <w:jc w:val="right"/>
              <w:rPr>
                <w:rFonts w:ascii="Arial" w:hAnsi="Arial" w:cs="Arial"/>
                <w:sz w:val="18"/>
                <w:szCs w:val="18"/>
              </w:rPr>
            </w:pPr>
          </w:p>
        </w:tc>
      </w:tr>
      <w:tr w:rsidR="00FB4B43" w:rsidRPr="00CB05E0" w:rsidTr="007E239B">
        <w:trPr>
          <w:trHeight w:val="20"/>
          <w:jc w:val="center"/>
        </w:trPr>
        <w:tc>
          <w:tcPr>
            <w:tcW w:w="1827" w:type="dxa"/>
            <w:vMerge/>
            <w:vAlign w:val="center"/>
            <w:hideMark/>
          </w:tcPr>
          <w:p w:rsidR="00FB4B43" w:rsidRPr="009226D2" w:rsidRDefault="00FB4B43" w:rsidP="007E239B">
            <w:pPr>
              <w:rPr>
                <w:rFonts w:ascii="Arial" w:hAnsi="Arial" w:cs="Arial"/>
                <w:sz w:val="18"/>
                <w:szCs w:val="18"/>
              </w:rPr>
            </w:pP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2</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60</w:t>
            </w:r>
            <w:r w:rsidRPr="00CB05E0">
              <w:rPr>
                <w:rFonts w:ascii="Arial" w:hAnsi="Arial" w:cs="Arial"/>
                <w:sz w:val="18"/>
                <w:szCs w:val="18"/>
              </w:rPr>
              <w:t>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 xml:space="preserve"> 2000</w:t>
            </w:r>
          </w:p>
        </w:tc>
        <w:tc>
          <w:tcPr>
            <w:tcW w:w="3647" w:type="dxa"/>
          </w:tcPr>
          <w:p w:rsidR="00FB4B43" w:rsidRPr="00CB05E0" w:rsidRDefault="00FB4B43" w:rsidP="007E239B">
            <w:pPr>
              <w:jc w:val="right"/>
              <w:rPr>
                <w:rFonts w:ascii="Arial" w:hAnsi="Arial" w:cs="Arial"/>
                <w:sz w:val="18"/>
                <w:szCs w:val="18"/>
              </w:rPr>
            </w:pPr>
          </w:p>
        </w:tc>
      </w:tr>
      <w:tr w:rsidR="00FB4B43" w:rsidRPr="00CB05E0" w:rsidTr="007E239B">
        <w:trPr>
          <w:trHeight w:val="20"/>
          <w:jc w:val="center"/>
        </w:trPr>
        <w:tc>
          <w:tcPr>
            <w:tcW w:w="1827" w:type="dxa"/>
            <w:vMerge/>
            <w:vAlign w:val="center"/>
            <w:hideMark/>
          </w:tcPr>
          <w:p w:rsidR="00FB4B43" w:rsidRPr="009226D2" w:rsidRDefault="00FB4B43" w:rsidP="007E239B">
            <w:pPr>
              <w:rPr>
                <w:rFonts w:ascii="Arial" w:hAnsi="Arial" w:cs="Arial"/>
                <w:sz w:val="18"/>
                <w:szCs w:val="18"/>
              </w:rPr>
            </w:pP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3</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600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 xml:space="preserve"> 2000</w:t>
            </w:r>
          </w:p>
        </w:tc>
        <w:tc>
          <w:tcPr>
            <w:tcW w:w="3647" w:type="dxa"/>
          </w:tcPr>
          <w:p w:rsidR="00FB4B43" w:rsidRPr="00CB05E0" w:rsidRDefault="00FB4B43" w:rsidP="007E239B">
            <w:pPr>
              <w:jc w:val="right"/>
              <w:rPr>
                <w:rFonts w:ascii="Arial" w:hAnsi="Arial" w:cs="Arial"/>
                <w:sz w:val="18"/>
                <w:szCs w:val="18"/>
              </w:rPr>
            </w:pPr>
          </w:p>
        </w:tc>
      </w:tr>
      <w:tr w:rsidR="00FB4B43" w:rsidRPr="00CB05E0" w:rsidTr="007E239B">
        <w:trPr>
          <w:trHeight w:val="20"/>
          <w:jc w:val="center"/>
        </w:trPr>
        <w:tc>
          <w:tcPr>
            <w:tcW w:w="1827" w:type="dxa"/>
            <w:vMerge/>
            <w:vAlign w:val="center"/>
            <w:hideMark/>
          </w:tcPr>
          <w:p w:rsidR="00FB4B43" w:rsidRPr="009226D2" w:rsidRDefault="00FB4B43" w:rsidP="007E239B">
            <w:pPr>
              <w:rPr>
                <w:rFonts w:ascii="Arial" w:hAnsi="Arial" w:cs="Arial"/>
                <w:sz w:val="18"/>
                <w:szCs w:val="18"/>
              </w:rPr>
            </w:pP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4</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Pr>
                <w:rFonts w:ascii="Arial" w:hAnsi="Arial" w:cs="Arial"/>
                <w:sz w:val="18"/>
                <w:szCs w:val="18"/>
              </w:rPr>
              <w:t>400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950</w:t>
            </w:r>
          </w:p>
        </w:tc>
        <w:tc>
          <w:tcPr>
            <w:tcW w:w="3647" w:type="dxa"/>
          </w:tcPr>
          <w:p w:rsidR="00FB4B43" w:rsidRPr="00CB05E0" w:rsidRDefault="00FB4B43" w:rsidP="007E239B">
            <w:pPr>
              <w:jc w:val="right"/>
              <w:rPr>
                <w:rFonts w:ascii="Arial" w:hAnsi="Arial" w:cs="Arial"/>
                <w:sz w:val="18"/>
                <w:szCs w:val="18"/>
              </w:rPr>
            </w:pPr>
            <w:r w:rsidRPr="00CB05E0">
              <w:rPr>
                <w:rFonts w:ascii="Arial" w:hAnsi="Arial" w:cs="Arial"/>
                <w:sz w:val="18"/>
                <w:szCs w:val="18"/>
              </w:rPr>
              <w:t>No delay required from the RF perspective</w:t>
            </w:r>
          </w:p>
        </w:tc>
      </w:tr>
      <w:tr w:rsidR="00FB4B43" w:rsidRPr="00CB05E0" w:rsidTr="007E239B">
        <w:trPr>
          <w:trHeight w:val="20"/>
          <w:jc w:val="center"/>
        </w:trPr>
        <w:tc>
          <w:tcPr>
            <w:tcW w:w="1827" w:type="dxa"/>
            <w:vMerge w:val="restart"/>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2</w:t>
            </w: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1</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600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 xml:space="preserve"> 2000</w:t>
            </w:r>
          </w:p>
        </w:tc>
        <w:tc>
          <w:tcPr>
            <w:tcW w:w="3647" w:type="dxa"/>
          </w:tcPr>
          <w:p w:rsidR="00FB4B43" w:rsidRPr="00CB05E0" w:rsidRDefault="00FB4B43" w:rsidP="007E239B">
            <w:pPr>
              <w:jc w:val="right"/>
              <w:rPr>
                <w:rFonts w:ascii="Arial" w:hAnsi="Arial" w:cs="Arial"/>
                <w:sz w:val="18"/>
                <w:szCs w:val="18"/>
              </w:rPr>
            </w:pPr>
          </w:p>
        </w:tc>
      </w:tr>
      <w:tr w:rsidR="00FB4B43" w:rsidRPr="00CB05E0" w:rsidTr="007E239B">
        <w:trPr>
          <w:trHeight w:val="20"/>
          <w:jc w:val="center"/>
        </w:trPr>
        <w:tc>
          <w:tcPr>
            <w:tcW w:w="1827" w:type="dxa"/>
            <w:vMerge/>
            <w:vAlign w:val="center"/>
            <w:hideMark/>
          </w:tcPr>
          <w:p w:rsidR="00FB4B43" w:rsidRPr="009226D2" w:rsidRDefault="00FB4B43" w:rsidP="007E239B">
            <w:pPr>
              <w:rPr>
                <w:rFonts w:ascii="Arial" w:hAnsi="Arial" w:cs="Arial"/>
                <w:sz w:val="18"/>
                <w:szCs w:val="18"/>
              </w:rPr>
            </w:pP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2</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600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 xml:space="preserve"> 2000</w:t>
            </w:r>
          </w:p>
        </w:tc>
        <w:tc>
          <w:tcPr>
            <w:tcW w:w="3647" w:type="dxa"/>
          </w:tcPr>
          <w:p w:rsidR="00FB4B43" w:rsidRPr="00CB05E0" w:rsidRDefault="00FB4B43" w:rsidP="007E239B">
            <w:pPr>
              <w:jc w:val="right"/>
              <w:rPr>
                <w:rFonts w:ascii="Arial" w:hAnsi="Arial" w:cs="Arial"/>
                <w:sz w:val="18"/>
                <w:szCs w:val="18"/>
              </w:rPr>
            </w:pPr>
          </w:p>
        </w:tc>
      </w:tr>
      <w:tr w:rsidR="00FB4B43" w:rsidRPr="00CB05E0" w:rsidTr="007E239B">
        <w:trPr>
          <w:trHeight w:val="20"/>
          <w:jc w:val="center"/>
        </w:trPr>
        <w:tc>
          <w:tcPr>
            <w:tcW w:w="1827" w:type="dxa"/>
            <w:vMerge/>
            <w:vAlign w:val="center"/>
            <w:hideMark/>
          </w:tcPr>
          <w:p w:rsidR="00FB4B43" w:rsidRPr="009226D2" w:rsidRDefault="00FB4B43" w:rsidP="007E239B">
            <w:pPr>
              <w:rPr>
                <w:rFonts w:ascii="Arial" w:hAnsi="Arial" w:cs="Arial"/>
                <w:sz w:val="18"/>
                <w:szCs w:val="18"/>
              </w:rPr>
            </w:pP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3</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600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 xml:space="preserve"> 2000</w:t>
            </w:r>
          </w:p>
        </w:tc>
        <w:tc>
          <w:tcPr>
            <w:tcW w:w="3647" w:type="dxa"/>
          </w:tcPr>
          <w:p w:rsidR="00FB4B43" w:rsidRPr="00CB05E0" w:rsidRDefault="00FB4B43" w:rsidP="007E239B">
            <w:pPr>
              <w:jc w:val="right"/>
              <w:rPr>
                <w:rFonts w:ascii="Arial" w:hAnsi="Arial" w:cs="Arial"/>
                <w:sz w:val="18"/>
                <w:szCs w:val="18"/>
              </w:rPr>
            </w:pPr>
          </w:p>
        </w:tc>
      </w:tr>
      <w:tr w:rsidR="00FB4B43" w:rsidRPr="00CB05E0" w:rsidTr="007E239B">
        <w:trPr>
          <w:trHeight w:val="20"/>
          <w:jc w:val="center"/>
        </w:trPr>
        <w:tc>
          <w:tcPr>
            <w:tcW w:w="1827" w:type="dxa"/>
            <w:vMerge/>
            <w:vAlign w:val="center"/>
            <w:hideMark/>
          </w:tcPr>
          <w:p w:rsidR="00FB4B43" w:rsidRPr="009226D2" w:rsidRDefault="00FB4B43" w:rsidP="007E239B">
            <w:pPr>
              <w:rPr>
                <w:rFonts w:ascii="Arial" w:hAnsi="Arial" w:cs="Arial"/>
                <w:sz w:val="18"/>
                <w:szCs w:val="18"/>
              </w:rPr>
            </w:pPr>
          </w:p>
        </w:tc>
        <w:tc>
          <w:tcPr>
            <w:tcW w:w="1135" w:type="dxa"/>
            <w:shd w:val="clear" w:color="auto" w:fill="auto"/>
            <w:vAlign w:val="center"/>
            <w:hideMark/>
          </w:tcPr>
          <w:p w:rsidR="00FB4B43" w:rsidRPr="009226D2" w:rsidRDefault="00FB4B43" w:rsidP="007E239B">
            <w:pPr>
              <w:jc w:val="right"/>
              <w:rPr>
                <w:rFonts w:ascii="Arial" w:hAnsi="Arial" w:cs="Arial"/>
                <w:sz w:val="18"/>
                <w:szCs w:val="18"/>
              </w:rPr>
            </w:pPr>
            <w:r w:rsidRPr="009226D2">
              <w:rPr>
                <w:rFonts w:ascii="Arial" w:hAnsi="Arial" w:cs="Arial"/>
                <w:sz w:val="18"/>
                <w:szCs w:val="18"/>
              </w:rPr>
              <w:t>4</w:t>
            </w:r>
          </w:p>
        </w:tc>
        <w:tc>
          <w:tcPr>
            <w:tcW w:w="1080" w:type="dxa"/>
            <w:shd w:val="clear" w:color="auto" w:fill="auto"/>
            <w:vAlign w:val="center"/>
            <w:hideMark/>
          </w:tcPr>
          <w:p w:rsidR="00FB4B43" w:rsidRPr="009226D2" w:rsidRDefault="00FB4B43" w:rsidP="007E239B">
            <w:pPr>
              <w:jc w:val="right"/>
              <w:rPr>
                <w:rFonts w:ascii="Arial" w:hAnsi="Arial" w:cs="Arial"/>
                <w:sz w:val="18"/>
                <w:szCs w:val="18"/>
              </w:rPr>
            </w:pPr>
            <w:r>
              <w:rPr>
                <w:rFonts w:ascii="Arial" w:hAnsi="Arial" w:cs="Arial"/>
                <w:sz w:val="18"/>
                <w:szCs w:val="18"/>
              </w:rPr>
              <w:t>400</w:t>
            </w:r>
          </w:p>
        </w:tc>
        <w:tc>
          <w:tcPr>
            <w:tcW w:w="1172" w:type="dxa"/>
          </w:tcPr>
          <w:p w:rsidR="00FB4B43" w:rsidRPr="00CB05E0" w:rsidRDefault="00FB4B43" w:rsidP="007E239B">
            <w:pPr>
              <w:jc w:val="right"/>
              <w:rPr>
                <w:rFonts w:ascii="Arial" w:hAnsi="Arial" w:cs="Arial"/>
                <w:sz w:val="18"/>
                <w:szCs w:val="18"/>
              </w:rPr>
            </w:pPr>
            <w:r>
              <w:rPr>
                <w:rFonts w:ascii="Arial" w:hAnsi="Arial" w:cs="Arial"/>
                <w:sz w:val="18"/>
                <w:szCs w:val="18"/>
              </w:rPr>
              <w:t>950</w:t>
            </w:r>
          </w:p>
        </w:tc>
        <w:tc>
          <w:tcPr>
            <w:tcW w:w="3647" w:type="dxa"/>
          </w:tcPr>
          <w:p w:rsidR="00FB4B43" w:rsidRPr="00CB05E0" w:rsidRDefault="00FB4B43" w:rsidP="007E239B">
            <w:pPr>
              <w:jc w:val="right"/>
              <w:rPr>
                <w:rFonts w:ascii="Arial" w:hAnsi="Arial" w:cs="Arial"/>
                <w:sz w:val="18"/>
                <w:szCs w:val="18"/>
              </w:rPr>
            </w:pPr>
            <w:r w:rsidRPr="00CB05E0">
              <w:rPr>
                <w:rFonts w:ascii="Arial" w:hAnsi="Arial" w:cs="Arial"/>
                <w:sz w:val="18"/>
                <w:szCs w:val="18"/>
              </w:rPr>
              <w:t>No delay required from the RF perspective</w:t>
            </w:r>
          </w:p>
        </w:tc>
      </w:tr>
    </w:tbl>
    <w:p w:rsidR="00FB4B43" w:rsidRDefault="00FB4B43" w:rsidP="00226D8E">
      <w:pPr>
        <w:rPr>
          <w:sz w:val="20"/>
        </w:rPr>
      </w:pPr>
    </w:p>
    <w:p w:rsidR="00851EDC" w:rsidRDefault="00851EDC" w:rsidP="00226D8E">
      <w:pPr>
        <w:rPr>
          <w:sz w:val="20"/>
        </w:rPr>
      </w:pPr>
      <w:r>
        <w:rPr>
          <w:sz w:val="20"/>
        </w:rPr>
        <w:t>Since the Type 1 delays are shorter than the minimum latency requirement of 3 ms for advanced V2X applications, a simple TDD scheme between UL and SL subframes with only 1 Tx chain as the minimum UE requirement can suffice.</w:t>
      </w:r>
    </w:p>
    <w:p w:rsidR="008B1AD6" w:rsidRDefault="008B1AD6" w:rsidP="00226D8E">
      <w:pPr>
        <w:rPr>
          <w:sz w:val="20"/>
        </w:rPr>
      </w:pPr>
      <w:r>
        <w:rPr>
          <w:sz w:val="20"/>
        </w:rPr>
        <w:t>Finally, if the NR V2X minimum UE capability requires the UE to receive and transmit across both NR and LTE Uu/ PC5 interface then the UE may need further Tx/ Rx RF chain(s). So, as a baseline:</w:t>
      </w:r>
    </w:p>
    <w:p w:rsidR="00851EDC" w:rsidRPr="008B1AD6" w:rsidRDefault="008B1AD6" w:rsidP="00226D8E">
      <w:pPr>
        <w:rPr>
          <w:b/>
          <w:sz w:val="20"/>
        </w:rPr>
      </w:pPr>
      <w:r w:rsidRPr="008B1AD6">
        <w:rPr>
          <w:b/>
          <w:sz w:val="20"/>
        </w:rPr>
        <w:t>Proposal 1: Two Rx chains (for Uu and SL Rx) and one Tx chain (for both Uu and SL Tx) is regarded as the minimum UE capability for a NR V2X UE not required to Rx/ Tx LTE V2X in parallel.</w:t>
      </w:r>
    </w:p>
    <w:p w:rsidR="008B1AD6" w:rsidRPr="008B1AD6" w:rsidRDefault="008B1AD6" w:rsidP="00226D8E">
      <w:pPr>
        <w:rPr>
          <w:b/>
          <w:sz w:val="20"/>
        </w:rPr>
      </w:pPr>
      <w:r w:rsidRPr="008B1AD6">
        <w:rPr>
          <w:b/>
          <w:sz w:val="20"/>
        </w:rPr>
        <w:t>Proposal 2: RAN2 clarify the NR V2X minimum UE RF capability with relevant groups when it is required to Rx/ Tx LTE V2X in parallel to NR V2X.</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Pr="00FB2234" w:rsidRDefault="001643EF" w:rsidP="00FB2234">
      <w:r w:rsidRPr="00FB2234">
        <w:t xml:space="preserve">This document discussed </w:t>
      </w:r>
      <w:r w:rsidR="00DD0F68" w:rsidRPr="00FB2234">
        <w:t>the NR V2X UE’s minimum RF capability</w:t>
      </w:r>
      <w:r w:rsidRPr="00FB2234">
        <w:t xml:space="preserve">. Following </w:t>
      </w:r>
      <w:r w:rsidR="00401FE0" w:rsidRPr="00FB2234">
        <w:t>observations and proposal</w:t>
      </w:r>
      <w:r w:rsidRPr="00FB2234">
        <w:t xml:space="preserve"> are made:</w:t>
      </w:r>
    </w:p>
    <w:p w:rsidR="00FB2234" w:rsidRPr="008B1AD6" w:rsidRDefault="00FB2234" w:rsidP="00FB2234">
      <w:pPr>
        <w:rPr>
          <w:b/>
          <w:sz w:val="20"/>
        </w:rPr>
      </w:pPr>
      <w:r w:rsidRPr="008B1AD6">
        <w:rPr>
          <w:b/>
          <w:sz w:val="20"/>
        </w:rPr>
        <w:t>Proposal 1: Two Rx chains (for Uu and SL Rx) and one Tx chain (for both Uu and SL Tx) is regarded as the minimum UE capability for a NR V2X UE not required to Rx/ Tx LTE V2X in parallel.</w:t>
      </w:r>
    </w:p>
    <w:p w:rsidR="00DD0F68" w:rsidRDefault="00FB2234" w:rsidP="00FB2234">
      <w:pPr>
        <w:rPr>
          <w:sz w:val="20"/>
          <w:lang w:val="en-GB" w:eastAsia="zh-CN"/>
        </w:rPr>
      </w:pPr>
      <w:r w:rsidRPr="008B1AD6">
        <w:rPr>
          <w:b/>
          <w:sz w:val="20"/>
        </w:rPr>
        <w:t>Proposal 2: RAN2 clarify the NR V2X minimum UE RF capability with relevant groups when it is required to Rx/ Tx LTE V2X in parallel to NR V2X.</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3A3574" w:rsidRDefault="00620D8F" w:rsidP="003A3574">
      <w:r w:rsidRPr="003A3574">
        <w:t xml:space="preserve">[1]: </w:t>
      </w:r>
      <w:r w:rsidR="003A3574" w:rsidRPr="003A3574">
        <w:t>R1</w:t>
      </w:r>
      <w:r w:rsidR="00F62D2D" w:rsidRPr="003A3574">
        <w:t>-18</w:t>
      </w:r>
      <w:r w:rsidR="003A3574" w:rsidRPr="003A3574">
        <w:t>10138 Huawei, HiSilicon</w:t>
      </w:r>
    </w:p>
    <w:p w:rsidR="00620D8F" w:rsidRPr="00CB61D7" w:rsidRDefault="00620D8F" w:rsidP="00305664">
      <w:pPr>
        <w:rPr>
          <w:b/>
          <w:lang w:val="en-GB"/>
        </w:rPr>
      </w:pPr>
      <w:r>
        <w:rPr>
          <w:sz w:val="20"/>
          <w:szCs w:val="20"/>
          <w:lang w:val="en-GB" w:eastAsia="zh-CN"/>
        </w:rPr>
        <w:t xml:space="preserve">[2]: </w:t>
      </w:r>
      <w:r w:rsidR="00B7778F" w:rsidRPr="00B7778F">
        <w:rPr>
          <w:sz w:val="20"/>
          <w:szCs w:val="20"/>
          <w:lang w:val="en-GB" w:eastAsia="zh-CN"/>
        </w:rPr>
        <w:t>R1-1803602(R4-1803283).doc</w:t>
      </w:r>
    </w:p>
    <w:sectPr w:rsidR="00620D8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C6F" w:rsidRDefault="00195C6F">
      <w:r>
        <w:separator/>
      </w:r>
    </w:p>
  </w:endnote>
  <w:endnote w:type="continuationSeparator" w:id="0">
    <w:p w:rsidR="00195C6F" w:rsidRDefault="00195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C6F" w:rsidRDefault="00195C6F">
      <w:r>
        <w:separator/>
      </w:r>
    </w:p>
  </w:footnote>
  <w:footnote w:type="continuationSeparator" w:id="0">
    <w:p w:rsidR="00195C6F" w:rsidRDefault="00195C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9">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26"/>
  </w:num>
  <w:num w:numId="3">
    <w:abstractNumId w:val="21"/>
  </w:num>
  <w:num w:numId="4">
    <w:abstractNumId w:val="16"/>
  </w:num>
  <w:num w:numId="5">
    <w:abstractNumId w:val="13"/>
  </w:num>
  <w:num w:numId="6">
    <w:abstractNumId w:val="27"/>
  </w:num>
  <w:num w:numId="7">
    <w:abstractNumId w:val="14"/>
  </w:num>
  <w:num w:numId="8">
    <w:abstractNumId w:val="12"/>
  </w:num>
  <w:num w:numId="9">
    <w:abstractNumId w:val="24"/>
  </w:num>
  <w:num w:numId="10">
    <w:abstractNumId w:val="11"/>
  </w:num>
  <w:num w:numId="11">
    <w:abstractNumId w:val="2"/>
  </w:num>
  <w:num w:numId="12">
    <w:abstractNumId w:val="23"/>
  </w:num>
  <w:num w:numId="13">
    <w:abstractNumId w:val="7"/>
  </w:num>
  <w:num w:numId="14">
    <w:abstractNumId w:val="15"/>
  </w:num>
  <w:num w:numId="15">
    <w:abstractNumId w:val="2"/>
  </w:num>
  <w:num w:numId="16">
    <w:abstractNumId w:val="2"/>
  </w:num>
  <w:num w:numId="17">
    <w:abstractNumId w:val="1"/>
  </w:num>
  <w:num w:numId="18">
    <w:abstractNumId w:val="10"/>
  </w:num>
  <w:num w:numId="19">
    <w:abstractNumId w:val="17"/>
  </w:num>
  <w:num w:numId="20">
    <w:abstractNumId w:val="19"/>
  </w:num>
  <w:num w:numId="21">
    <w:abstractNumId w:val="9"/>
  </w:num>
  <w:num w:numId="22">
    <w:abstractNumId w:val="18"/>
  </w:num>
  <w:num w:numId="23">
    <w:abstractNumId w:val="0"/>
  </w:num>
  <w:num w:numId="24">
    <w:abstractNumId w:val="8"/>
  </w:num>
  <w:num w:numId="25">
    <w:abstractNumId w:val="22"/>
  </w:num>
  <w:num w:numId="26">
    <w:abstractNumId w:val="20"/>
  </w:num>
  <w:num w:numId="27">
    <w:abstractNumId w:val="6"/>
  </w:num>
  <w:num w:numId="28">
    <w:abstractNumId w:val="5"/>
  </w:num>
  <w:num w:numId="29">
    <w:abstractNumId w:val="3"/>
  </w:num>
  <w:num w:numId="30">
    <w:abstractNumId w:val="25"/>
  </w:num>
  <w:num w:numId="31">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33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C6F"/>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BF989-DFE7-4FEC-BF4D-13BF7AF1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 User</cp:lastModifiedBy>
  <cp:revision>11</cp:revision>
  <cp:lastPrinted>2016-08-12T06:06:00Z</cp:lastPrinted>
  <dcterms:created xsi:type="dcterms:W3CDTF">2018-10-30T15:17:00Z</dcterms:created>
  <dcterms:modified xsi:type="dcterms:W3CDTF">2018-11-01T20:31:00Z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